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1A76" w:rsidRPr="00B11A76" w:rsidRDefault="00B11A76" w:rsidP="00B11A76">
      <w:pPr>
        <w:pStyle w:val="ListParagraph"/>
        <w:tabs>
          <w:tab w:val="left" w:pos="567"/>
        </w:tabs>
        <w:spacing w:before="120" w:after="120" w:line="240" w:lineRule="auto"/>
        <w:ind w:left="0"/>
        <w:jc w:val="center"/>
        <w:rPr>
          <w:rFonts w:eastAsia="MS Mincho" w:cs="Times New Roman"/>
          <w:b/>
          <w:bCs/>
          <w:kern w:val="0"/>
          <w:sz w:val="28"/>
          <w:szCs w:val="32"/>
          <w:lang w:val="vi-VN" w:eastAsia="ja-JP"/>
          <w14:ligatures w14:val="none"/>
        </w:rPr>
      </w:pPr>
      <w:r w:rsidRPr="00B11A76">
        <w:rPr>
          <w:rFonts w:eastAsia="MS Mincho" w:cs="Times New Roman"/>
          <w:b/>
          <w:bCs/>
          <w:kern w:val="0"/>
          <w:sz w:val="28"/>
          <w:szCs w:val="32"/>
          <w:lang w:val="vi-VN" w:eastAsia="ja-JP"/>
          <w14:ligatures w14:val="none"/>
        </w:rPr>
        <w:t>PHỤ LỤC 3</w:t>
      </w:r>
    </w:p>
    <w:p w:rsidR="00B11A76" w:rsidRPr="00B11A76" w:rsidRDefault="00B11A76" w:rsidP="00B11A76">
      <w:pPr>
        <w:pStyle w:val="ListParagraph"/>
        <w:tabs>
          <w:tab w:val="left" w:pos="567"/>
        </w:tabs>
        <w:spacing w:before="120" w:after="120" w:line="240" w:lineRule="auto"/>
        <w:ind w:left="0"/>
        <w:jc w:val="center"/>
        <w:rPr>
          <w:rFonts w:eastAsia="MS Mincho" w:cs="Times New Roman"/>
          <w:b/>
          <w:bCs/>
          <w:kern w:val="0"/>
          <w:sz w:val="28"/>
          <w:szCs w:val="32"/>
          <w:lang w:val="vi-VN" w:eastAsia="ja-JP"/>
          <w14:ligatures w14:val="none"/>
        </w:rPr>
      </w:pPr>
      <w:r w:rsidRPr="00B11A76">
        <w:rPr>
          <w:rFonts w:eastAsia="MS Mincho" w:cs="Times New Roman"/>
          <w:b/>
          <w:bCs/>
          <w:kern w:val="0"/>
          <w:sz w:val="28"/>
          <w:szCs w:val="32"/>
          <w:lang w:val="vi-VN" w:eastAsia="ja-JP"/>
          <w14:ligatures w14:val="none"/>
        </w:rPr>
        <w:t>VĂN BẢN TRIỂN KHAI NGHỊ ĐỊNH SỐ 117/2014/NĐ-CP</w:t>
      </w:r>
      <w:r>
        <w:rPr>
          <w:rFonts w:eastAsia="MS Mincho" w:cs="Times New Roman"/>
          <w:b/>
          <w:bCs/>
          <w:kern w:val="0"/>
          <w:sz w:val="28"/>
          <w:szCs w:val="32"/>
          <w:lang w:val="vi-VN" w:eastAsia="ja-JP"/>
          <w14:ligatures w14:val="none"/>
        </w:rPr>
        <w:t xml:space="preserve"> </w:t>
      </w:r>
      <w:r>
        <w:rPr>
          <w:rFonts w:eastAsia="MS Mincho" w:cs="Times New Roman"/>
          <w:b/>
          <w:bCs/>
          <w:kern w:val="0"/>
          <w:sz w:val="28"/>
          <w:szCs w:val="32"/>
          <w:lang w:val="vi-VN" w:eastAsia="ja-JP"/>
          <w14:ligatures w14:val="none"/>
        </w:rPr>
        <w:br/>
        <w:t>VÀ MỘT SỐ VĂN BẢN LIÊN QUAN</w:t>
      </w:r>
    </w:p>
    <w:p w:rsidR="00B11A76" w:rsidRPr="00B11A76" w:rsidRDefault="00B11A76" w:rsidP="00B11A76">
      <w:pPr>
        <w:pStyle w:val="ListParagraph"/>
        <w:tabs>
          <w:tab w:val="left" w:pos="567"/>
        </w:tabs>
        <w:spacing w:before="120" w:after="120" w:line="240" w:lineRule="auto"/>
        <w:ind w:left="1080"/>
        <w:rPr>
          <w:rFonts w:eastAsia="MS Mincho" w:cs="Times New Roman"/>
          <w:kern w:val="0"/>
          <w:sz w:val="28"/>
          <w:szCs w:val="32"/>
          <w:lang w:val="vi-VN" w:eastAsia="ja-JP"/>
          <w14:ligatures w14:val="none"/>
        </w:rPr>
      </w:pPr>
    </w:p>
    <w:tbl>
      <w:tblPr>
        <w:tblStyle w:val="TableGrid"/>
        <w:tblW w:w="9493" w:type="dxa"/>
        <w:tblLook w:val="04A0" w:firstRow="1" w:lastRow="0" w:firstColumn="1" w:lastColumn="0" w:noHBand="0" w:noVBand="1"/>
      </w:tblPr>
      <w:tblGrid>
        <w:gridCol w:w="562"/>
        <w:gridCol w:w="8931"/>
      </w:tblGrid>
      <w:tr w:rsidR="00B11A76" w:rsidRPr="00B11A76" w:rsidTr="000C0447">
        <w:trPr>
          <w:tblHeader/>
        </w:trPr>
        <w:tc>
          <w:tcPr>
            <w:tcW w:w="562" w:type="dxa"/>
          </w:tcPr>
          <w:p w:rsidR="00B11A76" w:rsidRPr="00B11A76" w:rsidRDefault="00B11A76" w:rsidP="000C0447">
            <w:pPr>
              <w:spacing w:before="80" w:after="120"/>
              <w:jc w:val="center"/>
              <w:rPr>
                <w:b/>
                <w:bCs/>
                <w:lang w:val="vi-VN"/>
              </w:rPr>
            </w:pPr>
            <w:r w:rsidRPr="00B11A76">
              <w:rPr>
                <w:b/>
                <w:bCs/>
                <w:lang w:val="vi-VN"/>
              </w:rPr>
              <w:t>Stt</w:t>
            </w:r>
          </w:p>
        </w:tc>
        <w:tc>
          <w:tcPr>
            <w:tcW w:w="8931" w:type="dxa"/>
          </w:tcPr>
          <w:p w:rsidR="00B11A76" w:rsidRPr="00B11A76" w:rsidRDefault="00B11A76" w:rsidP="000C0447">
            <w:pPr>
              <w:spacing w:before="80" w:after="120"/>
              <w:jc w:val="center"/>
              <w:rPr>
                <w:b/>
                <w:bCs/>
                <w:lang w:val="vi-VN"/>
              </w:rPr>
            </w:pPr>
            <w:r w:rsidRPr="00B11A76">
              <w:rPr>
                <w:b/>
                <w:bCs/>
                <w:lang w:val="vi-VN"/>
              </w:rPr>
              <w:t>Ký hiệu văn bản</w:t>
            </w:r>
          </w:p>
        </w:tc>
      </w:tr>
      <w:tr w:rsidR="00B11A76" w:rsidTr="00B11A76">
        <w:tc>
          <w:tcPr>
            <w:tcW w:w="562" w:type="dxa"/>
          </w:tcPr>
          <w:p w:rsidR="00B11A76" w:rsidRDefault="00B11A76" w:rsidP="000C0447">
            <w:pPr>
              <w:spacing w:before="80" w:after="120"/>
              <w:jc w:val="center"/>
              <w:rPr>
                <w:lang w:val="vi-VN"/>
              </w:rPr>
            </w:pPr>
            <w:r>
              <w:rPr>
                <w:lang w:val="vi-VN"/>
              </w:rPr>
              <w:t>1</w:t>
            </w:r>
          </w:p>
        </w:tc>
        <w:tc>
          <w:tcPr>
            <w:tcW w:w="8931" w:type="dxa"/>
          </w:tcPr>
          <w:p w:rsidR="00B11A76" w:rsidRDefault="00B11A76" w:rsidP="000C0447">
            <w:pPr>
              <w:spacing w:before="80" w:after="120"/>
              <w:jc w:val="both"/>
              <w:rPr>
                <w:lang w:val="vi-VN"/>
              </w:rPr>
            </w:pPr>
            <w:r w:rsidRPr="002C4850">
              <w:rPr>
                <w:color w:val="000000" w:themeColor="text1"/>
                <w:szCs w:val="26"/>
                <w:lang w:val="vi-VN"/>
              </w:rPr>
              <w:t xml:space="preserve">Thông tư số 33/2015/TT-BYT ngày 27/10/2015 hướng dẫn chức năng, </w:t>
            </w:r>
            <w:r>
              <w:rPr>
                <w:color w:val="000000" w:themeColor="text1"/>
                <w:szCs w:val="26"/>
                <w:lang w:val="vi-VN"/>
              </w:rPr>
              <w:t>n</w:t>
            </w:r>
            <w:r w:rsidRPr="002C4850">
              <w:rPr>
                <w:color w:val="000000" w:themeColor="text1"/>
                <w:szCs w:val="26"/>
                <w:lang w:val="vi-VN"/>
              </w:rPr>
              <w:t>hiệm vụ của TYT xã, phường, thị trấn</w:t>
            </w:r>
          </w:p>
        </w:tc>
      </w:tr>
      <w:tr w:rsidR="00B11A76" w:rsidTr="00B11A76">
        <w:tc>
          <w:tcPr>
            <w:tcW w:w="562" w:type="dxa"/>
          </w:tcPr>
          <w:p w:rsidR="00B11A76" w:rsidRDefault="00B11A76" w:rsidP="000C0447">
            <w:pPr>
              <w:spacing w:before="80" w:after="120"/>
              <w:jc w:val="center"/>
              <w:rPr>
                <w:lang w:val="vi-VN"/>
              </w:rPr>
            </w:pPr>
            <w:r>
              <w:rPr>
                <w:lang w:val="vi-VN"/>
              </w:rPr>
              <w:t>2</w:t>
            </w:r>
          </w:p>
        </w:tc>
        <w:tc>
          <w:tcPr>
            <w:tcW w:w="8931" w:type="dxa"/>
          </w:tcPr>
          <w:p w:rsidR="00B11A76" w:rsidRPr="002C4850" w:rsidRDefault="00B11A76" w:rsidP="000C0447">
            <w:pPr>
              <w:spacing w:before="80" w:after="120"/>
              <w:jc w:val="both"/>
              <w:rPr>
                <w:color w:val="000000" w:themeColor="text1"/>
                <w:szCs w:val="26"/>
                <w:lang w:val="vi-VN"/>
              </w:rPr>
            </w:pPr>
            <w:r w:rsidRPr="002C4850">
              <w:rPr>
                <w:color w:val="000000" w:themeColor="text1"/>
                <w:szCs w:val="26"/>
                <w:lang w:val="vi-VN"/>
              </w:rPr>
              <w:t xml:space="preserve">Nghị quyết </w:t>
            </w:r>
            <w:r>
              <w:rPr>
                <w:color w:val="000000" w:themeColor="text1"/>
                <w:szCs w:val="26"/>
                <w:lang w:val="vi-VN"/>
              </w:rPr>
              <w:t xml:space="preserve">số </w:t>
            </w:r>
            <w:r w:rsidRPr="002C4850">
              <w:rPr>
                <w:color w:val="000000" w:themeColor="text1"/>
                <w:szCs w:val="26"/>
                <w:lang w:val="vi-VN"/>
              </w:rPr>
              <w:t xml:space="preserve">20-NQ/TW </w:t>
            </w:r>
            <w:r>
              <w:rPr>
                <w:color w:val="000000" w:themeColor="text1"/>
                <w:szCs w:val="26"/>
                <w:lang w:val="vi-VN"/>
              </w:rPr>
              <w:t>ngày 25/10/</w:t>
            </w:r>
            <w:r w:rsidRPr="002C4850">
              <w:rPr>
                <w:color w:val="000000" w:themeColor="text1"/>
                <w:szCs w:val="26"/>
                <w:lang w:val="vi-VN"/>
              </w:rPr>
              <w:t>2017 về tăng cường công tác bảo vệ, chăm sóc và nâng cao sức khỏe nhân dân trong tình hình mới</w:t>
            </w:r>
          </w:p>
        </w:tc>
      </w:tr>
      <w:tr w:rsidR="00B11A76" w:rsidTr="00B11A76">
        <w:tc>
          <w:tcPr>
            <w:tcW w:w="562" w:type="dxa"/>
          </w:tcPr>
          <w:p w:rsidR="00B11A76" w:rsidRDefault="00B11A76" w:rsidP="000C0447">
            <w:pPr>
              <w:spacing w:before="80" w:after="120"/>
              <w:jc w:val="center"/>
              <w:rPr>
                <w:lang w:val="vi-VN"/>
              </w:rPr>
            </w:pPr>
            <w:r>
              <w:rPr>
                <w:lang w:val="vi-VN"/>
              </w:rPr>
              <w:t>3</w:t>
            </w:r>
          </w:p>
        </w:tc>
        <w:tc>
          <w:tcPr>
            <w:tcW w:w="8931" w:type="dxa"/>
          </w:tcPr>
          <w:p w:rsidR="00B11A76" w:rsidRPr="002C4850" w:rsidRDefault="00B11A76" w:rsidP="000C0447">
            <w:pPr>
              <w:spacing w:before="80" w:after="120"/>
              <w:jc w:val="both"/>
              <w:rPr>
                <w:color w:val="000000" w:themeColor="text1"/>
                <w:szCs w:val="26"/>
                <w:lang w:val="vi-VN"/>
              </w:rPr>
            </w:pPr>
            <w:r w:rsidRPr="002C4850">
              <w:rPr>
                <w:szCs w:val="26"/>
                <w:lang w:val="nl-NL"/>
              </w:rPr>
              <w:t xml:space="preserve">Chỉ thị số 25-CT/TW ngày 25 tháng 10 năm 2023 về tiếp tục củng cố, hoàn thiện, </w:t>
            </w:r>
            <w:r w:rsidRPr="006C3F86">
              <w:rPr>
                <w:color w:val="000000" w:themeColor="text1"/>
                <w:szCs w:val="26"/>
                <w:lang w:val="vi-VN"/>
              </w:rPr>
              <w:t>nâng cao chất lượng hoạt động của y tế cơ sở trong tình hình mới</w:t>
            </w:r>
          </w:p>
        </w:tc>
      </w:tr>
      <w:tr w:rsidR="00B11A76" w:rsidTr="00B11A76">
        <w:tc>
          <w:tcPr>
            <w:tcW w:w="562" w:type="dxa"/>
          </w:tcPr>
          <w:p w:rsidR="00B11A76" w:rsidRDefault="00B11A76" w:rsidP="000C0447">
            <w:pPr>
              <w:spacing w:before="80" w:after="120"/>
              <w:jc w:val="center"/>
              <w:rPr>
                <w:lang w:val="vi-VN"/>
              </w:rPr>
            </w:pPr>
            <w:r>
              <w:rPr>
                <w:lang w:val="vi-VN"/>
              </w:rPr>
              <w:t>4</w:t>
            </w:r>
          </w:p>
        </w:tc>
        <w:tc>
          <w:tcPr>
            <w:tcW w:w="8931" w:type="dxa"/>
          </w:tcPr>
          <w:p w:rsidR="00B11A76" w:rsidRPr="002C4850" w:rsidRDefault="00B11A76" w:rsidP="000C0447">
            <w:pPr>
              <w:spacing w:before="80" w:after="120"/>
              <w:jc w:val="both"/>
              <w:rPr>
                <w:szCs w:val="26"/>
                <w:lang w:val="nl-NL"/>
              </w:rPr>
            </w:pPr>
            <w:r w:rsidRPr="002C4850">
              <w:rPr>
                <w:szCs w:val="26"/>
              </w:rPr>
              <w:t>Nghị quyết số 99/2023/QH15 ngày 24/6/2023 của Quốc hội giám sát chuyên đề về việc huy động, quản lý và sử dụng các nguồn lực phục vụ công tác phòng, chống dịch COVID-19; việc thực hiện chính sách, pháp luật về y tế cơ sở, y tế dự phòng</w:t>
            </w:r>
          </w:p>
        </w:tc>
      </w:tr>
      <w:tr w:rsidR="00B11A76" w:rsidTr="00B11A76">
        <w:tc>
          <w:tcPr>
            <w:tcW w:w="562" w:type="dxa"/>
          </w:tcPr>
          <w:p w:rsidR="00B11A76" w:rsidRDefault="00B11A76" w:rsidP="000C0447">
            <w:pPr>
              <w:spacing w:before="80" w:after="120"/>
              <w:jc w:val="center"/>
              <w:rPr>
                <w:lang w:val="vi-VN"/>
              </w:rPr>
            </w:pPr>
            <w:r>
              <w:rPr>
                <w:lang w:val="vi-VN"/>
              </w:rPr>
              <w:t>5</w:t>
            </w:r>
          </w:p>
        </w:tc>
        <w:tc>
          <w:tcPr>
            <w:tcW w:w="8931" w:type="dxa"/>
          </w:tcPr>
          <w:p w:rsidR="00B11A76" w:rsidRPr="002C4850" w:rsidRDefault="00B11A76" w:rsidP="000C0447">
            <w:pPr>
              <w:spacing w:before="80" w:after="120"/>
              <w:jc w:val="both"/>
              <w:rPr>
                <w:szCs w:val="26"/>
              </w:rPr>
            </w:pPr>
            <w:r w:rsidRPr="002C4850">
              <w:rPr>
                <w:color w:val="000000" w:themeColor="text1"/>
                <w:szCs w:val="26"/>
                <w:lang w:val="vi-VN"/>
              </w:rPr>
              <w:t xml:space="preserve">Nghị quyết </w:t>
            </w:r>
            <w:r>
              <w:rPr>
                <w:color w:val="000000" w:themeColor="text1"/>
                <w:szCs w:val="26"/>
                <w:lang w:val="vi-VN"/>
              </w:rPr>
              <w:t xml:space="preserve">số </w:t>
            </w:r>
            <w:r w:rsidRPr="002C4850">
              <w:rPr>
                <w:color w:val="000000" w:themeColor="text1"/>
                <w:szCs w:val="26"/>
                <w:lang w:val="vi-VN"/>
              </w:rPr>
              <w:t xml:space="preserve">1211/2016/UBTVQH13 </w:t>
            </w:r>
            <w:r w:rsidR="00F73851">
              <w:rPr>
                <w:color w:val="000000" w:themeColor="text1"/>
                <w:szCs w:val="26"/>
                <w:lang w:val="vi-VN"/>
              </w:rPr>
              <w:t xml:space="preserve">ngày 25/5/2016 </w:t>
            </w:r>
            <w:r w:rsidRPr="002C4850">
              <w:rPr>
                <w:color w:val="000000" w:themeColor="text1"/>
                <w:szCs w:val="26"/>
                <w:lang w:val="vi-VN"/>
              </w:rPr>
              <w:t>về tiêu chuẩn của đơn vị hành chính và phân loại đơn vị hành chính</w:t>
            </w:r>
          </w:p>
        </w:tc>
      </w:tr>
      <w:tr w:rsidR="00F73851" w:rsidRPr="00F73851" w:rsidTr="00B11A76">
        <w:tc>
          <w:tcPr>
            <w:tcW w:w="562" w:type="dxa"/>
          </w:tcPr>
          <w:p w:rsidR="00F73851" w:rsidRPr="00F73851" w:rsidRDefault="00F73851" w:rsidP="000C0447">
            <w:pPr>
              <w:spacing w:before="80" w:after="120"/>
              <w:jc w:val="center"/>
              <w:rPr>
                <w:szCs w:val="26"/>
                <w:lang w:val="vi-VN"/>
              </w:rPr>
            </w:pPr>
            <w:r w:rsidRPr="00F73851">
              <w:rPr>
                <w:szCs w:val="26"/>
                <w:lang w:val="vi-VN"/>
              </w:rPr>
              <w:t>6</w:t>
            </w:r>
          </w:p>
        </w:tc>
        <w:tc>
          <w:tcPr>
            <w:tcW w:w="8931" w:type="dxa"/>
          </w:tcPr>
          <w:p w:rsidR="00F73851" w:rsidRPr="00F73851" w:rsidRDefault="00F73851" w:rsidP="000C0447">
            <w:pPr>
              <w:spacing w:before="80" w:after="120"/>
              <w:jc w:val="both"/>
              <w:rPr>
                <w:color w:val="000000"/>
                <w:szCs w:val="26"/>
                <w:shd w:val="clear" w:color="auto" w:fill="FFFFFF"/>
                <w:lang w:val="vi-VN"/>
              </w:rPr>
            </w:pPr>
            <w:r w:rsidRPr="00F73851">
              <w:rPr>
                <w:color w:val="000000" w:themeColor="text1"/>
                <w:szCs w:val="26"/>
                <w:lang w:val="vi-VN"/>
              </w:rPr>
              <w:t xml:space="preserve">Nghị quyết </w:t>
            </w:r>
            <w:r w:rsidRPr="00F73851">
              <w:rPr>
                <w:color w:val="000000" w:themeColor="text1"/>
                <w:szCs w:val="26"/>
                <w:lang w:val="vi-VN"/>
              </w:rPr>
              <w:t xml:space="preserve">số </w:t>
            </w:r>
            <w:r w:rsidRPr="00F73851">
              <w:rPr>
                <w:color w:val="000000" w:themeColor="text1"/>
                <w:szCs w:val="26"/>
                <w:lang w:val="vi-VN"/>
              </w:rPr>
              <w:t xml:space="preserve">27/2022/UBTVQH15 </w:t>
            </w:r>
            <w:r>
              <w:rPr>
                <w:color w:val="000000" w:themeColor="text1"/>
                <w:szCs w:val="26"/>
                <w:lang w:val="vi-VN"/>
              </w:rPr>
              <w:t xml:space="preserve">ngày 21/09/2022 về </w:t>
            </w:r>
            <w:bookmarkStart w:id="0" w:name="loai_1_name"/>
            <w:r w:rsidRPr="00F73851">
              <w:rPr>
                <w:color w:val="000000" w:themeColor="text1"/>
                <w:szCs w:val="26"/>
                <w:lang w:val="vi-VN"/>
              </w:rPr>
              <w:t xml:space="preserve">sửa đổi, bổ sung một số điều của Nghị quyết số </w:t>
            </w:r>
            <w:r w:rsidRPr="00F73851">
              <w:rPr>
                <w:color w:val="000000"/>
                <w:szCs w:val="26"/>
                <w:shd w:val="clear" w:color="auto" w:fill="FFFFFF"/>
              </w:rPr>
              <w:t xml:space="preserve">1211/2016/UBTVQH13 </w:t>
            </w:r>
            <w:r w:rsidRPr="00F73851">
              <w:rPr>
                <w:color w:val="000000"/>
                <w:szCs w:val="26"/>
                <w:shd w:val="clear" w:color="auto" w:fill="FFFFFF"/>
              </w:rPr>
              <w:t>ngày</w:t>
            </w:r>
            <w:r w:rsidRPr="00F73851">
              <w:rPr>
                <w:color w:val="000000"/>
                <w:szCs w:val="26"/>
                <w:shd w:val="clear" w:color="auto" w:fill="FFFFFF"/>
                <w:lang w:val="vi-VN"/>
              </w:rPr>
              <w:t xml:space="preserve"> 25/5/2016 của </w:t>
            </w:r>
            <w:r>
              <w:rPr>
                <w:color w:val="000000"/>
                <w:szCs w:val="26"/>
                <w:shd w:val="clear" w:color="auto" w:fill="FFFFFF"/>
                <w:lang w:val="vi-VN"/>
              </w:rPr>
              <w:t>U</w:t>
            </w:r>
            <w:r w:rsidRPr="00F73851">
              <w:rPr>
                <w:color w:val="000000"/>
                <w:szCs w:val="26"/>
                <w:shd w:val="clear" w:color="auto" w:fill="FFFFFF"/>
                <w:lang w:val="vi-VN"/>
              </w:rPr>
              <w:t>ỷ ban Thường vụ Quốc hội về tiêu chuẩn của đơn vị hành chính và phân loại đơn vị hành chính</w:t>
            </w:r>
            <w:bookmarkEnd w:id="0"/>
          </w:p>
        </w:tc>
      </w:tr>
      <w:tr w:rsidR="00F73851" w:rsidRPr="00F73851" w:rsidTr="00B11A76">
        <w:tc>
          <w:tcPr>
            <w:tcW w:w="562" w:type="dxa"/>
          </w:tcPr>
          <w:p w:rsidR="00F73851" w:rsidRPr="00F73851" w:rsidRDefault="00F73851" w:rsidP="000C0447">
            <w:pPr>
              <w:spacing w:before="80" w:after="120"/>
              <w:jc w:val="center"/>
              <w:rPr>
                <w:szCs w:val="26"/>
                <w:lang w:val="vi-VN"/>
              </w:rPr>
            </w:pPr>
            <w:r>
              <w:rPr>
                <w:szCs w:val="26"/>
                <w:lang w:val="vi-VN"/>
              </w:rPr>
              <w:t>7</w:t>
            </w:r>
          </w:p>
        </w:tc>
        <w:tc>
          <w:tcPr>
            <w:tcW w:w="8931" w:type="dxa"/>
          </w:tcPr>
          <w:p w:rsidR="00F73851" w:rsidRPr="00F73851" w:rsidRDefault="00F73851" w:rsidP="000C0447">
            <w:pPr>
              <w:spacing w:before="80" w:after="120"/>
              <w:jc w:val="both"/>
              <w:rPr>
                <w:color w:val="000000" w:themeColor="text1"/>
                <w:szCs w:val="26"/>
                <w:lang w:val="vi-VN"/>
              </w:rPr>
            </w:pPr>
            <w:r w:rsidRPr="002C4850">
              <w:rPr>
                <w:color w:val="000000" w:themeColor="text1"/>
                <w:szCs w:val="26"/>
                <w:lang w:val="vi-VN"/>
              </w:rPr>
              <w:t xml:space="preserve">Nghị quyết </w:t>
            </w:r>
            <w:r>
              <w:rPr>
                <w:color w:val="000000" w:themeColor="text1"/>
                <w:szCs w:val="26"/>
                <w:lang w:val="vi-VN"/>
              </w:rPr>
              <w:t xml:space="preserve">số </w:t>
            </w:r>
            <w:r w:rsidRPr="002C4850">
              <w:rPr>
                <w:color w:val="000000" w:themeColor="text1"/>
                <w:szCs w:val="26"/>
                <w:lang w:val="vi-VN"/>
              </w:rPr>
              <w:t xml:space="preserve">35/2023/UBTVQH15 </w:t>
            </w:r>
            <w:r>
              <w:rPr>
                <w:color w:val="000000" w:themeColor="text1"/>
                <w:szCs w:val="26"/>
                <w:lang w:val="vi-VN"/>
              </w:rPr>
              <w:t xml:space="preserve">của Uỷ ban Thường vụ Quốc hội </w:t>
            </w:r>
            <w:r w:rsidRPr="002C4850">
              <w:rPr>
                <w:color w:val="000000" w:themeColor="text1"/>
                <w:szCs w:val="26"/>
                <w:lang w:val="vi-VN"/>
              </w:rPr>
              <w:t xml:space="preserve">về việc sắp xếp </w:t>
            </w:r>
            <w:r>
              <w:rPr>
                <w:color w:val="000000" w:themeColor="text1"/>
                <w:szCs w:val="26"/>
                <w:lang w:val="vi-VN"/>
              </w:rPr>
              <w:t xml:space="preserve">đơn vị hành chính </w:t>
            </w:r>
            <w:r w:rsidRPr="002C4850">
              <w:rPr>
                <w:color w:val="000000" w:themeColor="text1"/>
                <w:szCs w:val="26"/>
                <w:lang w:val="vi-VN"/>
              </w:rPr>
              <w:t>cấp huyện, cấp xã giai đoạn 2023-2030</w:t>
            </w:r>
          </w:p>
        </w:tc>
      </w:tr>
      <w:tr w:rsidR="00F73851" w:rsidRPr="00F73851" w:rsidTr="00B11A76">
        <w:tc>
          <w:tcPr>
            <w:tcW w:w="562" w:type="dxa"/>
          </w:tcPr>
          <w:p w:rsidR="00F73851" w:rsidRDefault="00F73851" w:rsidP="000C0447">
            <w:pPr>
              <w:spacing w:before="80" w:after="120"/>
              <w:jc w:val="center"/>
              <w:rPr>
                <w:szCs w:val="26"/>
                <w:lang w:val="vi-VN"/>
              </w:rPr>
            </w:pPr>
            <w:r>
              <w:rPr>
                <w:szCs w:val="26"/>
                <w:lang w:val="vi-VN"/>
              </w:rPr>
              <w:t>8</w:t>
            </w:r>
          </w:p>
        </w:tc>
        <w:tc>
          <w:tcPr>
            <w:tcW w:w="8931" w:type="dxa"/>
          </w:tcPr>
          <w:p w:rsidR="00F73851" w:rsidRPr="002C4850" w:rsidRDefault="00F73851" w:rsidP="000C0447">
            <w:pPr>
              <w:spacing w:before="80" w:after="120"/>
              <w:jc w:val="both"/>
              <w:rPr>
                <w:color w:val="000000" w:themeColor="text1"/>
                <w:szCs w:val="26"/>
                <w:lang w:val="vi-VN"/>
              </w:rPr>
            </w:pPr>
            <w:r w:rsidRPr="00F04F71">
              <w:rPr>
                <w:szCs w:val="26"/>
              </w:rPr>
              <w:t>Nghị định số 54/2017/NĐ-CP ngày 08/5/2017 quy định chi tiết một số điều và biện pháp thi hành Luật Dược</w:t>
            </w:r>
          </w:p>
        </w:tc>
      </w:tr>
      <w:tr w:rsidR="00F73851" w:rsidRPr="00F73851" w:rsidTr="00B11A76">
        <w:tc>
          <w:tcPr>
            <w:tcW w:w="562" w:type="dxa"/>
          </w:tcPr>
          <w:p w:rsidR="00F73851" w:rsidRDefault="00F73851" w:rsidP="000C0447">
            <w:pPr>
              <w:spacing w:before="80" w:after="120"/>
              <w:jc w:val="center"/>
              <w:rPr>
                <w:szCs w:val="26"/>
                <w:lang w:val="vi-VN"/>
              </w:rPr>
            </w:pPr>
            <w:r>
              <w:rPr>
                <w:szCs w:val="26"/>
                <w:lang w:val="vi-VN"/>
              </w:rPr>
              <w:t>9</w:t>
            </w:r>
          </w:p>
        </w:tc>
        <w:tc>
          <w:tcPr>
            <w:tcW w:w="8931" w:type="dxa"/>
          </w:tcPr>
          <w:p w:rsidR="00F73851" w:rsidRPr="00F73851" w:rsidRDefault="00F73851" w:rsidP="000C0447">
            <w:pPr>
              <w:spacing w:before="80" w:after="120"/>
              <w:jc w:val="both"/>
              <w:rPr>
                <w:szCs w:val="26"/>
                <w:lang w:val="vi-VN"/>
              </w:rPr>
            </w:pPr>
            <w:r w:rsidRPr="002C4850">
              <w:rPr>
                <w:szCs w:val="26"/>
              </w:rPr>
              <w:t>Nghị định số 33/2023/NĐCP ngày 10/6/2023 của Chính phủ quy định về cán bộ, công chức cấp xã và người hoạt động không chuyên trách ở cấp xã, thôn, tổ dân phố</w:t>
            </w:r>
            <w:r w:rsidRPr="002C4850">
              <w:rPr>
                <w:szCs w:val="26"/>
              </w:rPr>
              <w:t xml:space="preserve"> </w:t>
            </w:r>
            <w:r>
              <w:rPr>
                <w:szCs w:val="26"/>
                <w:lang w:val="vi-VN"/>
              </w:rPr>
              <w:t xml:space="preserve">(thay thế </w:t>
            </w:r>
            <w:r w:rsidRPr="002C4850">
              <w:rPr>
                <w:szCs w:val="26"/>
              </w:rPr>
              <w:t>Nghị định số 34/2019/NĐ-CP ngày 24/4/2019 sửa đổi, bổ sung một số quy định về cán bộ, công chức cấp xã và người hoạt động không chuyên trách ở cấp xã, ở thôn, tổ dân phố</w:t>
            </w:r>
            <w:r>
              <w:rPr>
                <w:szCs w:val="26"/>
                <w:lang w:val="vi-VN"/>
              </w:rPr>
              <w:t>)</w:t>
            </w:r>
          </w:p>
        </w:tc>
      </w:tr>
      <w:tr w:rsidR="00F73851" w:rsidRPr="00F73851" w:rsidTr="00B11A76">
        <w:tc>
          <w:tcPr>
            <w:tcW w:w="562" w:type="dxa"/>
          </w:tcPr>
          <w:p w:rsidR="00F73851" w:rsidRDefault="00F73851" w:rsidP="000C0447">
            <w:pPr>
              <w:spacing w:before="80" w:after="120"/>
              <w:jc w:val="center"/>
              <w:rPr>
                <w:szCs w:val="26"/>
                <w:lang w:val="vi-VN"/>
              </w:rPr>
            </w:pPr>
            <w:r>
              <w:rPr>
                <w:szCs w:val="26"/>
                <w:lang w:val="vi-VN"/>
              </w:rPr>
              <w:t>10</w:t>
            </w:r>
          </w:p>
        </w:tc>
        <w:tc>
          <w:tcPr>
            <w:tcW w:w="8931" w:type="dxa"/>
          </w:tcPr>
          <w:p w:rsidR="00F73851" w:rsidRPr="002C4850" w:rsidRDefault="00F73851" w:rsidP="000C0447">
            <w:pPr>
              <w:spacing w:before="80" w:after="120"/>
              <w:jc w:val="both"/>
              <w:rPr>
                <w:szCs w:val="26"/>
              </w:rPr>
            </w:pPr>
            <w:r w:rsidRPr="002C4850">
              <w:rPr>
                <w:bCs/>
                <w:color w:val="000000" w:themeColor="text1"/>
                <w:szCs w:val="26"/>
                <w:lang w:val="vi-VN"/>
              </w:rPr>
              <w:t xml:space="preserve">Thông tư </w:t>
            </w:r>
            <w:r>
              <w:rPr>
                <w:bCs/>
                <w:color w:val="000000" w:themeColor="text1"/>
                <w:szCs w:val="26"/>
                <w:lang w:val="vi-VN"/>
              </w:rPr>
              <w:t xml:space="preserve">số </w:t>
            </w:r>
            <w:r w:rsidRPr="002C4850">
              <w:rPr>
                <w:bCs/>
                <w:color w:val="000000" w:themeColor="text1"/>
                <w:szCs w:val="26"/>
                <w:lang w:val="vi-VN"/>
              </w:rPr>
              <w:t>03/2023/TT-BYT hướng dẫn vị trí việc làm, định mức số lượng người làm việc, cơ cấu viên chức theo chức danh nghề nghiệp trong đơn vị sự nghiệp y tế công lập</w:t>
            </w:r>
          </w:p>
        </w:tc>
      </w:tr>
      <w:tr w:rsidR="00F73851" w:rsidRPr="00F73851" w:rsidTr="00B11A76">
        <w:tc>
          <w:tcPr>
            <w:tcW w:w="562" w:type="dxa"/>
          </w:tcPr>
          <w:p w:rsidR="00F73851" w:rsidRDefault="00F73851" w:rsidP="000C0447">
            <w:pPr>
              <w:spacing w:before="80" w:after="120"/>
              <w:jc w:val="center"/>
              <w:rPr>
                <w:szCs w:val="26"/>
                <w:lang w:val="vi-VN"/>
              </w:rPr>
            </w:pPr>
            <w:r>
              <w:rPr>
                <w:szCs w:val="26"/>
                <w:lang w:val="vi-VN"/>
              </w:rPr>
              <w:t>11</w:t>
            </w:r>
          </w:p>
        </w:tc>
        <w:tc>
          <w:tcPr>
            <w:tcW w:w="8931" w:type="dxa"/>
          </w:tcPr>
          <w:p w:rsidR="00F73851" w:rsidRPr="002C4850" w:rsidRDefault="00F73851" w:rsidP="000C0447">
            <w:pPr>
              <w:spacing w:before="80" w:after="120"/>
              <w:jc w:val="both"/>
              <w:rPr>
                <w:bCs/>
                <w:color w:val="000000" w:themeColor="text1"/>
                <w:szCs w:val="26"/>
                <w:lang w:val="vi-VN"/>
              </w:rPr>
            </w:pPr>
            <w:r w:rsidRPr="002C4850">
              <w:rPr>
                <w:szCs w:val="26"/>
              </w:rPr>
              <w:t>Thông tư số 27/2023/TT-BYT ngày 29/12/2023 quy định chức năng, nhiệm vụ, tiêu chuẩn, phạm vi chuyên môn khám bệnh, chữa bệnh và nội dung đào tạo chuyên môn, nghiệp vụ đối với nhân viên y tế thôn bản, cô đỡ thôn bản</w:t>
            </w:r>
          </w:p>
        </w:tc>
      </w:tr>
      <w:tr w:rsidR="00F73851" w:rsidRPr="00F73851" w:rsidTr="00B11A76">
        <w:tc>
          <w:tcPr>
            <w:tcW w:w="562" w:type="dxa"/>
          </w:tcPr>
          <w:p w:rsidR="00F73851" w:rsidRDefault="00F73851" w:rsidP="000C0447">
            <w:pPr>
              <w:spacing w:before="80" w:after="120"/>
              <w:jc w:val="center"/>
              <w:rPr>
                <w:szCs w:val="26"/>
                <w:lang w:val="vi-VN"/>
              </w:rPr>
            </w:pPr>
            <w:r>
              <w:rPr>
                <w:szCs w:val="26"/>
                <w:lang w:val="vi-VN"/>
              </w:rPr>
              <w:t>12</w:t>
            </w:r>
          </w:p>
        </w:tc>
        <w:tc>
          <w:tcPr>
            <w:tcW w:w="8931" w:type="dxa"/>
          </w:tcPr>
          <w:p w:rsidR="00F73851" w:rsidRPr="002C4850" w:rsidRDefault="00F73851" w:rsidP="000C0447">
            <w:pPr>
              <w:spacing w:before="80" w:after="120"/>
              <w:jc w:val="both"/>
              <w:rPr>
                <w:szCs w:val="26"/>
              </w:rPr>
            </w:pPr>
            <w:r w:rsidRPr="002C4850">
              <w:rPr>
                <w:bCs/>
                <w:color w:val="000000" w:themeColor="text1"/>
                <w:szCs w:val="26"/>
                <w:lang w:val="vi-VN"/>
              </w:rPr>
              <w:t xml:space="preserve">Thông tư </w:t>
            </w:r>
            <w:r>
              <w:rPr>
                <w:bCs/>
                <w:color w:val="000000" w:themeColor="text1"/>
                <w:szCs w:val="26"/>
                <w:lang w:val="vi-VN"/>
              </w:rPr>
              <w:t xml:space="preserve">số </w:t>
            </w:r>
            <w:r w:rsidRPr="002C4850">
              <w:rPr>
                <w:bCs/>
                <w:color w:val="000000" w:themeColor="text1"/>
                <w:szCs w:val="26"/>
                <w:lang w:val="vi-VN"/>
              </w:rPr>
              <w:t xml:space="preserve">32/2021/TT-BYT </w:t>
            </w:r>
            <w:r w:rsidRPr="002C4850">
              <w:rPr>
                <w:szCs w:val="26"/>
                <w:lang w:val="vi-VN"/>
              </w:rPr>
              <w:t>ngày 31</w:t>
            </w:r>
            <w:r w:rsidR="00A34885">
              <w:rPr>
                <w:szCs w:val="26"/>
                <w:lang w:val="vi-VN"/>
              </w:rPr>
              <w:t>/</w:t>
            </w:r>
            <w:r w:rsidRPr="002C4850">
              <w:rPr>
                <w:szCs w:val="26"/>
                <w:lang w:val="vi-VN"/>
              </w:rPr>
              <w:t>12</w:t>
            </w:r>
            <w:r w:rsidR="00A34885">
              <w:rPr>
                <w:szCs w:val="26"/>
                <w:lang w:val="vi-VN"/>
              </w:rPr>
              <w:t>/</w:t>
            </w:r>
            <w:r w:rsidRPr="002C4850">
              <w:rPr>
                <w:szCs w:val="26"/>
                <w:lang w:val="vi-VN"/>
              </w:rPr>
              <w:t xml:space="preserve">2021 </w:t>
            </w:r>
            <w:r w:rsidRPr="002C4850">
              <w:rPr>
                <w:bCs/>
                <w:color w:val="000000" w:themeColor="text1"/>
                <w:szCs w:val="26"/>
                <w:lang w:val="vi-VN"/>
              </w:rPr>
              <w:t xml:space="preserve">ban hành hướng dẫn thiết kế cơ bản TYT xã, phường, thị trấn đã đưa ra yêu cầu tối thiểu về không gian chức năng của TYT theo vùng, đồng thời cung cấp thiết kế minh họa cho TYT thuộc từng khu vực </w:t>
            </w:r>
            <w:r w:rsidRPr="002C4850">
              <w:rPr>
                <w:bCs/>
                <w:color w:val="000000" w:themeColor="text1"/>
                <w:szCs w:val="26"/>
                <w:lang w:val="vi-VN"/>
              </w:rPr>
              <w:lastRenderedPageBreak/>
              <w:t>có điều kiện địa lý – khí hậu khác nhau (khu vực hải đảo, khu vực có/không có lũ lụt, khu vực có diện tích đất xây dựng nhỏ)</w:t>
            </w:r>
          </w:p>
        </w:tc>
      </w:tr>
      <w:tr w:rsidR="00F73851" w:rsidRPr="00F73851" w:rsidTr="00B11A76">
        <w:tc>
          <w:tcPr>
            <w:tcW w:w="562" w:type="dxa"/>
          </w:tcPr>
          <w:p w:rsidR="00F73851" w:rsidRDefault="00F73851" w:rsidP="000C0447">
            <w:pPr>
              <w:spacing w:before="80" w:after="120"/>
              <w:jc w:val="center"/>
              <w:rPr>
                <w:szCs w:val="26"/>
                <w:lang w:val="vi-VN"/>
              </w:rPr>
            </w:pPr>
            <w:r>
              <w:rPr>
                <w:szCs w:val="26"/>
                <w:lang w:val="vi-VN"/>
              </w:rPr>
              <w:lastRenderedPageBreak/>
              <w:t>13</w:t>
            </w:r>
          </w:p>
        </w:tc>
        <w:tc>
          <w:tcPr>
            <w:tcW w:w="8931" w:type="dxa"/>
          </w:tcPr>
          <w:p w:rsidR="00F73851" w:rsidRPr="002C4850" w:rsidRDefault="00F73851" w:rsidP="000C0447">
            <w:pPr>
              <w:spacing w:before="80" w:after="120"/>
              <w:jc w:val="both"/>
              <w:rPr>
                <w:bCs/>
                <w:color w:val="000000" w:themeColor="text1"/>
                <w:szCs w:val="26"/>
                <w:lang w:val="vi-VN"/>
              </w:rPr>
            </w:pPr>
            <w:r w:rsidRPr="002C4850">
              <w:rPr>
                <w:bCs/>
                <w:color w:val="000000" w:themeColor="text1"/>
                <w:szCs w:val="26"/>
                <w:lang w:val="vi-VN"/>
              </w:rPr>
              <w:t xml:space="preserve">Thông tư </w:t>
            </w:r>
            <w:r>
              <w:rPr>
                <w:bCs/>
                <w:color w:val="000000" w:themeColor="text1"/>
                <w:szCs w:val="26"/>
                <w:lang w:val="vi-VN"/>
              </w:rPr>
              <w:t xml:space="preserve">số </w:t>
            </w:r>
            <w:r w:rsidRPr="002C4850">
              <w:rPr>
                <w:bCs/>
                <w:color w:val="000000" w:themeColor="text1"/>
                <w:szCs w:val="26"/>
                <w:lang w:val="vi-VN"/>
              </w:rPr>
              <w:t xml:space="preserve">28/2020/TT-BYT </w:t>
            </w:r>
            <w:r w:rsidRPr="002C4850">
              <w:rPr>
                <w:szCs w:val="26"/>
              </w:rPr>
              <w:t>ngày 31</w:t>
            </w:r>
            <w:r w:rsidR="00A34885">
              <w:rPr>
                <w:szCs w:val="26"/>
                <w:lang w:val="vi-VN"/>
              </w:rPr>
              <w:t>/</w:t>
            </w:r>
            <w:r w:rsidRPr="002C4850">
              <w:rPr>
                <w:szCs w:val="26"/>
              </w:rPr>
              <w:t>12</w:t>
            </w:r>
            <w:r w:rsidR="00A34885">
              <w:rPr>
                <w:szCs w:val="26"/>
                <w:lang w:val="vi-VN"/>
              </w:rPr>
              <w:t>/</w:t>
            </w:r>
            <w:r w:rsidRPr="002C4850">
              <w:rPr>
                <w:szCs w:val="26"/>
              </w:rPr>
              <w:t xml:space="preserve">2020 </w:t>
            </w:r>
            <w:r w:rsidRPr="002C4850">
              <w:rPr>
                <w:bCs/>
                <w:color w:val="000000" w:themeColor="text1"/>
                <w:szCs w:val="26"/>
                <w:lang w:val="vi-VN"/>
              </w:rPr>
              <w:t>quy định danh mục TTB tối thiểu của TYT tuyến xã</w:t>
            </w:r>
          </w:p>
        </w:tc>
      </w:tr>
      <w:tr w:rsidR="00A34885" w:rsidRPr="00F73851" w:rsidTr="00B11A76">
        <w:tc>
          <w:tcPr>
            <w:tcW w:w="562" w:type="dxa"/>
          </w:tcPr>
          <w:p w:rsidR="00A34885" w:rsidRDefault="00A34885" w:rsidP="000C0447">
            <w:pPr>
              <w:spacing w:before="80" w:after="120"/>
              <w:jc w:val="center"/>
              <w:rPr>
                <w:szCs w:val="26"/>
                <w:lang w:val="vi-VN"/>
              </w:rPr>
            </w:pPr>
            <w:r>
              <w:rPr>
                <w:szCs w:val="26"/>
                <w:lang w:val="vi-VN"/>
              </w:rPr>
              <w:t>14</w:t>
            </w:r>
          </w:p>
        </w:tc>
        <w:tc>
          <w:tcPr>
            <w:tcW w:w="8931" w:type="dxa"/>
          </w:tcPr>
          <w:p w:rsidR="00A34885" w:rsidRPr="002C4850" w:rsidRDefault="00A34885" w:rsidP="000C0447">
            <w:pPr>
              <w:spacing w:before="80" w:after="120"/>
              <w:jc w:val="both"/>
              <w:rPr>
                <w:bCs/>
                <w:color w:val="000000" w:themeColor="text1"/>
                <w:szCs w:val="26"/>
                <w:lang w:val="vi-VN"/>
              </w:rPr>
            </w:pPr>
            <w:r w:rsidRPr="002C4850">
              <w:rPr>
                <w:szCs w:val="26"/>
              </w:rPr>
              <w:t>Quyết định số 6110/QĐ-BYT ngày 29/12/2017 của Bộ Y tế ban hành Hướng dẫn xây dựng và và triển khai hệ thống thông tin quản lý Trạm y tế xã, phường, thị trấn</w:t>
            </w:r>
          </w:p>
        </w:tc>
      </w:tr>
      <w:tr w:rsidR="00A34885" w:rsidRPr="00F73851" w:rsidTr="00B11A76">
        <w:tc>
          <w:tcPr>
            <w:tcW w:w="562" w:type="dxa"/>
          </w:tcPr>
          <w:p w:rsidR="00A34885" w:rsidRDefault="00A34885" w:rsidP="000C0447">
            <w:pPr>
              <w:spacing w:before="80" w:after="120"/>
              <w:jc w:val="center"/>
              <w:rPr>
                <w:szCs w:val="26"/>
                <w:lang w:val="vi-VN"/>
              </w:rPr>
            </w:pPr>
            <w:r>
              <w:rPr>
                <w:szCs w:val="26"/>
                <w:lang w:val="vi-VN"/>
              </w:rPr>
              <w:t>15</w:t>
            </w:r>
          </w:p>
        </w:tc>
        <w:tc>
          <w:tcPr>
            <w:tcW w:w="8931" w:type="dxa"/>
          </w:tcPr>
          <w:p w:rsidR="00A34885" w:rsidRPr="002C4850" w:rsidRDefault="00A34885" w:rsidP="000C0447">
            <w:pPr>
              <w:spacing w:before="80" w:after="120"/>
              <w:jc w:val="both"/>
              <w:rPr>
                <w:szCs w:val="26"/>
              </w:rPr>
            </w:pPr>
            <w:r w:rsidRPr="002C4850">
              <w:rPr>
                <w:szCs w:val="26"/>
              </w:rPr>
              <w:t xml:space="preserve">Quyết định số 6111/QĐ-BYT ngày 29/13/2017 của Bộ Y tế phê duyệt Đề án triển khai ứng dụng công nghệ thông tin tại Trạm y tế xã, phường giai đoạn 2018 </w:t>
            </w:r>
            <w:r>
              <w:rPr>
                <w:szCs w:val="26"/>
              </w:rPr>
              <w:t>–</w:t>
            </w:r>
            <w:r w:rsidRPr="002C4850">
              <w:rPr>
                <w:szCs w:val="26"/>
              </w:rPr>
              <w:t xml:space="preserve"> 2020</w:t>
            </w:r>
          </w:p>
        </w:tc>
      </w:tr>
      <w:tr w:rsidR="00A34885" w:rsidRPr="00F73851" w:rsidTr="00B11A76">
        <w:tc>
          <w:tcPr>
            <w:tcW w:w="562" w:type="dxa"/>
          </w:tcPr>
          <w:p w:rsidR="00A34885" w:rsidRDefault="00A34885" w:rsidP="000C0447">
            <w:pPr>
              <w:spacing w:before="80" w:after="120"/>
              <w:jc w:val="center"/>
              <w:rPr>
                <w:szCs w:val="26"/>
                <w:lang w:val="vi-VN"/>
              </w:rPr>
            </w:pPr>
            <w:r>
              <w:rPr>
                <w:szCs w:val="26"/>
                <w:lang w:val="vi-VN"/>
              </w:rPr>
              <w:t>16</w:t>
            </w:r>
          </w:p>
        </w:tc>
        <w:tc>
          <w:tcPr>
            <w:tcW w:w="8931" w:type="dxa"/>
          </w:tcPr>
          <w:p w:rsidR="00A34885" w:rsidRPr="002C4850" w:rsidRDefault="00A34885" w:rsidP="000C0447">
            <w:pPr>
              <w:spacing w:before="80" w:after="120"/>
              <w:jc w:val="both"/>
              <w:rPr>
                <w:szCs w:val="26"/>
              </w:rPr>
            </w:pPr>
            <w:r w:rsidRPr="00101D9B">
              <w:rPr>
                <w:szCs w:val="26"/>
              </w:rPr>
              <w:t>Quyết định số 5454/QĐ-BYT ngày 10/09/2018 của Bộ Y tế phê duyệt kế hoạch triển khai thống kê y tế điện tử</w:t>
            </w:r>
          </w:p>
        </w:tc>
      </w:tr>
      <w:tr w:rsidR="00A34885" w:rsidRPr="00F73851" w:rsidTr="00B11A76">
        <w:tc>
          <w:tcPr>
            <w:tcW w:w="562" w:type="dxa"/>
          </w:tcPr>
          <w:p w:rsidR="00A34885" w:rsidRDefault="00A34885" w:rsidP="000C0447">
            <w:pPr>
              <w:spacing w:before="80" w:after="120"/>
              <w:jc w:val="center"/>
              <w:rPr>
                <w:szCs w:val="26"/>
                <w:lang w:val="vi-VN"/>
              </w:rPr>
            </w:pPr>
            <w:r>
              <w:rPr>
                <w:szCs w:val="26"/>
                <w:lang w:val="vi-VN"/>
              </w:rPr>
              <w:t>17</w:t>
            </w:r>
          </w:p>
        </w:tc>
        <w:tc>
          <w:tcPr>
            <w:tcW w:w="8931" w:type="dxa"/>
          </w:tcPr>
          <w:p w:rsidR="00A34885" w:rsidRPr="00101D9B" w:rsidRDefault="00A34885" w:rsidP="000C0447">
            <w:pPr>
              <w:spacing w:before="80" w:after="120"/>
              <w:jc w:val="both"/>
              <w:rPr>
                <w:szCs w:val="26"/>
              </w:rPr>
            </w:pPr>
            <w:r w:rsidRPr="00101D9B">
              <w:rPr>
                <w:szCs w:val="26"/>
              </w:rPr>
              <w:t>Quyết định số 5349/QĐ-BYT ngày 12/11/2019 của Bộ Y tế phê duyệt kế hoạch triển khai hồ sơ sức khỏe điện tử</w:t>
            </w:r>
          </w:p>
        </w:tc>
      </w:tr>
      <w:tr w:rsidR="00A34885" w:rsidRPr="00F73851" w:rsidTr="00B11A76">
        <w:tc>
          <w:tcPr>
            <w:tcW w:w="562" w:type="dxa"/>
          </w:tcPr>
          <w:p w:rsidR="00A34885" w:rsidRDefault="00A34885" w:rsidP="000C0447">
            <w:pPr>
              <w:spacing w:before="80" w:after="120"/>
              <w:jc w:val="center"/>
              <w:rPr>
                <w:szCs w:val="26"/>
                <w:lang w:val="vi-VN"/>
              </w:rPr>
            </w:pPr>
            <w:r>
              <w:rPr>
                <w:szCs w:val="26"/>
                <w:lang w:val="vi-VN"/>
              </w:rPr>
              <w:t>18</w:t>
            </w:r>
          </w:p>
        </w:tc>
        <w:tc>
          <w:tcPr>
            <w:tcW w:w="8931" w:type="dxa"/>
          </w:tcPr>
          <w:p w:rsidR="00A34885" w:rsidRPr="00101D9B" w:rsidRDefault="00A34885" w:rsidP="000C0447">
            <w:pPr>
              <w:spacing w:before="80" w:after="120"/>
              <w:jc w:val="both"/>
              <w:rPr>
                <w:szCs w:val="26"/>
              </w:rPr>
            </w:pPr>
            <w:r w:rsidRPr="00101D9B">
              <w:rPr>
                <w:szCs w:val="26"/>
              </w:rPr>
              <w:t xml:space="preserve">Quyết định </w:t>
            </w:r>
            <w:r w:rsidR="009D0296">
              <w:rPr>
                <w:szCs w:val="26"/>
              </w:rPr>
              <w:t>số</w:t>
            </w:r>
            <w:r w:rsidR="009D0296">
              <w:rPr>
                <w:szCs w:val="26"/>
                <w:lang w:val="vi-VN"/>
              </w:rPr>
              <w:t xml:space="preserve"> </w:t>
            </w:r>
            <w:r w:rsidRPr="00101D9B">
              <w:rPr>
                <w:szCs w:val="26"/>
              </w:rPr>
              <w:t>3532/QĐ-BYT ngày 12/08/2020 của Bộ Y tế quy định về xây dựng và triển khai hệ thống thông tin quản lý Trạm y tế xã, phường, thị trấn</w:t>
            </w:r>
          </w:p>
        </w:tc>
      </w:tr>
      <w:tr w:rsidR="00A34885" w:rsidRPr="00F73851" w:rsidTr="00B11A76">
        <w:tc>
          <w:tcPr>
            <w:tcW w:w="562" w:type="dxa"/>
          </w:tcPr>
          <w:p w:rsidR="00A34885" w:rsidRDefault="00A34885" w:rsidP="000C0447">
            <w:pPr>
              <w:spacing w:before="80" w:after="120"/>
              <w:jc w:val="center"/>
              <w:rPr>
                <w:szCs w:val="26"/>
                <w:lang w:val="vi-VN"/>
              </w:rPr>
            </w:pPr>
            <w:r>
              <w:rPr>
                <w:szCs w:val="26"/>
                <w:lang w:val="vi-VN"/>
              </w:rPr>
              <w:t>19</w:t>
            </w:r>
          </w:p>
        </w:tc>
        <w:tc>
          <w:tcPr>
            <w:tcW w:w="8931" w:type="dxa"/>
          </w:tcPr>
          <w:p w:rsidR="00A34885" w:rsidRPr="00101D9B" w:rsidRDefault="009D0296" w:rsidP="000C0447">
            <w:pPr>
              <w:spacing w:before="80" w:after="120"/>
              <w:jc w:val="both"/>
              <w:rPr>
                <w:szCs w:val="26"/>
              </w:rPr>
            </w:pPr>
            <w:r w:rsidRPr="002C4850">
              <w:rPr>
                <w:bCs/>
                <w:color w:val="000000" w:themeColor="text1"/>
                <w:szCs w:val="26"/>
                <w:lang w:val="vi-VN"/>
              </w:rPr>
              <w:t>Thông tư</w:t>
            </w:r>
            <w:r>
              <w:rPr>
                <w:bCs/>
                <w:color w:val="000000" w:themeColor="text1"/>
                <w:szCs w:val="26"/>
                <w:lang w:val="vi-VN"/>
              </w:rPr>
              <w:t xml:space="preserve"> số </w:t>
            </w:r>
            <w:r w:rsidRPr="002C4850">
              <w:rPr>
                <w:bCs/>
                <w:color w:val="000000" w:themeColor="text1"/>
                <w:szCs w:val="26"/>
                <w:lang w:val="vi-VN"/>
              </w:rPr>
              <w:t>43/2013/TT-BYT qui định chi tiết phân tuyến chuyên môn kỹ thuật đối với hệ thống cơ sở khám bệnh, chữa bệnh trong đó qui định TYT xã, phường, thị trấn được thực hiện các dịch vụ chuyên môn kỹ thuật thuộc tuyến 4</w:t>
            </w:r>
          </w:p>
        </w:tc>
      </w:tr>
      <w:tr w:rsidR="009D0296" w:rsidRPr="00F73851" w:rsidTr="00B11A76">
        <w:tc>
          <w:tcPr>
            <w:tcW w:w="562" w:type="dxa"/>
          </w:tcPr>
          <w:p w:rsidR="009D0296" w:rsidRDefault="009D0296" w:rsidP="000C0447">
            <w:pPr>
              <w:spacing w:before="80" w:after="120"/>
              <w:jc w:val="center"/>
              <w:rPr>
                <w:szCs w:val="26"/>
                <w:lang w:val="vi-VN"/>
              </w:rPr>
            </w:pPr>
            <w:r>
              <w:rPr>
                <w:szCs w:val="26"/>
                <w:lang w:val="vi-VN"/>
              </w:rPr>
              <w:t>20</w:t>
            </w:r>
          </w:p>
        </w:tc>
        <w:tc>
          <w:tcPr>
            <w:tcW w:w="8931" w:type="dxa"/>
          </w:tcPr>
          <w:p w:rsidR="009D0296" w:rsidRPr="002C4850" w:rsidRDefault="009D0296" w:rsidP="000C0447">
            <w:pPr>
              <w:spacing w:before="80" w:after="120"/>
              <w:jc w:val="both"/>
              <w:rPr>
                <w:bCs/>
                <w:color w:val="000000" w:themeColor="text1"/>
                <w:szCs w:val="26"/>
                <w:lang w:val="vi-VN"/>
              </w:rPr>
            </w:pPr>
            <w:r w:rsidRPr="002C4850">
              <w:rPr>
                <w:bCs/>
                <w:color w:val="000000" w:themeColor="text1"/>
                <w:szCs w:val="26"/>
                <w:lang w:val="vi-VN"/>
              </w:rPr>
              <w:t xml:space="preserve">Thông tư </w:t>
            </w:r>
            <w:r>
              <w:rPr>
                <w:bCs/>
                <w:color w:val="000000" w:themeColor="text1"/>
                <w:szCs w:val="26"/>
                <w:lang w:val="vi-VN"/>
              </w:rPr>
              <w:t xml:space="preserve">số </w:t>
            </w:r>
            <w:r w:rsidRPr="002C4850">
              <w:rPr>
                <w:bCs/>
                <w:color w:val="000000" w:themeColor="text1"/>
                <w:szCs w:val="26"/>
                <w:lang w:val="vi-VN"/>
              </w:rPr>
              <w:t>39/2017/TT-BYT quy định gói dịch vụ y tế cơ bản cho tuyến YTCS</w:t>
            </w:r>
            <w:r>
              <w:rPr>
                <w:bCs/>
                <w:color w:val="000000" w:themeColor="text1"/>
                <w:szCs w:val="26"/>
                <w:lang w:val="vi-VN"/>
              </w:rPr>
              <w:t>.</w:t>
            </w:r>
          </w:p>
        </w:tc>
      </w:tr>
      <w:tr w:rsidR="009D0296" w:rsidRPr="00F73851" w:rsidTr="00B11A76">
        <w:tc>
          <w:tcPr>
            <w:tcW w:w="562" w:type="dxa"/>
          </w:tcPr>
          <w:p w:rsidR="009D0296" w:rsidRDefault="009D0296" w:rsidP="000C0447">
            <w:pPr>
              <w:spacing w:before="80" w:after="120"/>
              <w:jc w:val="center"/>
              <w:rPr>
                <w:szCs w:val="26"/>
                <w:lang w:val="vi-VN"/>
              </w:rPr>
            </w:pPr>
            <w:r>
              <w:rPr>
                <w:szCs w:val="26"/>
                <w:lang w:val="vi-VN"/>
              </w:rPr>
              <w:t>21</w:t>
            </w:r>
          </w:p>
        </w:tc>
        <w:tc>
          <w:tcPr>
            <w:tcW w:w="8931" w:type="dxa"/>
          </w:tcPr>
          <w:p w:rsidR="009D0296" w:rsidRPr="002C4850" w:rsidRDefault="009D0296" w:rsidP="000C0447">
            <w:pPr>
              <w:spacing w:before="80" w:after="120"/>
              <w:jc w:val="both"/>
              <w:rPr>
                <w:bCs/>
                <w:color w:val="000000" w:themeColor="text1"/>
                <w:szCs w:val="26"/>
                <w:lang w:val="vi-VN"/>
              </w:rPr>
            </w:pPr>
            <w:r w:rsidRPr="002C4850">
              <w:rPr>
                <w:bCs/>
                <w:color w:val="000000" w:themeColor="text1"/>
                <w:szCs w:val="26"/>
                <w:lang w:val="vi-VN"/>
              </w:rPr>
              <w:t xml:space="preserve">Thông tư </w:t>
            </w:r>
            <w:r>
              <w:rPr>
                <w:bCs/>
                <w:color w:val="000000" w:themeColor="text1"/>
                <w:szCs w:val="26"/>
                <w:lang w:val="vi-VN"/>
              </w:rPr>
              <w:t xml:space="preserve">số </w:t>
            </w:r>
            <w:r w:rsidRPr="002C4850">
              <w:rPr>
                <w:bCs/>
                <w:color w:val="000000" w:themeColor="text1"/>
                <w:szCs w:val="26"/>
                <w:lang w:val="vi-VN"/>
              </w:rPr>
              <w:t>20/2022/TT-BYT (</w:t>
            </w:r>
            <w:r>
              <w:rPr>
                <w:bCs/>
                <w:color w:val="000000" w:themeColor="text1"/>
                <w:szCs w:val="26"/>
                <w:lang w:val="vi-VN"/>
              </w:rPr>
              <w:t>thay thế</w:t>
            </w:r>
            <w:r w:rsidRPr="002C4850">
              <w:rPr>
                <w:bCs/>
                <w:color w:val="000000" w:themeColor="text1"/>
                <w:szCs w:val="26"/>
                <w:lang w:val="vi-VN"/>
              </w:rPr>
              <w:t xml:space="preserve"> Thông tư 30/2018/TT-BYT) ban hành danh mục và tỷ lệ, điều kiện thanh toán đối với thuốc hóa dược, sinh phẩm, thuốc phóng xạ và chất đánh dấu thuộc phạm vi được hưởng của người tham gia BHYT</w:t>
            </w:r>
          </w:p>
        </w:tc>
      </w:tr>
      <w:tr w:rsidR="009D0296" w:rsidRPr="00F73851" w:rsidTr="00B11A76">
        <w:tc>
          <w:tcPr>
            <w:tcW w:w="562" w:type="dxa"/>
          </w:tcPr>
          <w:p w:rsidR="009D0296" w:rsidRDefault="009D0296" w:rsidP="000C0447">
            <w:pPr>
              <w:spacing w:before="80" w:after="120"/>
              <w:jc w:val="center"/>
              <w:rPr>
                <w:szCs w:val="26"/>
                <w:lang w:val="vi-VN"/>
              </w:rPr>
            </w:pPr>
            <w:r>
              <w:rPr>
                <w:szCs w:val="26"/>
                <w:lang w:val="vi-VN"/>
              </w:rPr>
              <w:t>22</w:t>
            </w:r>
          </w:p>
        </w:tc>
        <w:tc>
          <w:tcPr>
            <w:tcW w:w="8931" w:type="dxa"/>
          </w:tcPr>
          <w:p w:rsidR="009D0296" w:rsidRPr="002C4850" w:rsidRDefault="009D0296" w:rsidP="000C0447">
            <w:pPr>
              <w:spacing w:before="80" w:after="120"/>
              <w:jc w:val="both"/>
              <w:rPr>
                <w:bCs/>
                <w:color w:val="000000" w:themeColor="text1"/>
                <w:szCs w:val="26"/>
                <w:lang w:val="vi-VN"/>
              </w:rPr>
            </w:pPr>
            <w:r w:rsidRPr="002C4850">
              <w:rPr>
                <w:bCs/>
                <w:color w:val="000000" w:themeColor="text1"/>
                <w:szCs w:val="26"/>
                <w:lang w:val="vi-VN"/>
              </w:rPr>
              <w:t xml:space="preserve">Thông tư </w:t>
            </w:r>
            <w:r>
              <w:rPr>
                <w:bCs/>
                <w:color w:val="000000" w:themeColor="text1"/>
                <w:szCs w:val="26"/>
                <w:lang w:val="vi-VN"/>
              </w:rPr>
              <w:t xml:space="preserve">số </w:t>
            </w:r>
            <w:r w:rsidRPr="002C4850">
              <w:rPr>
                <w:bCs/>
                <w:color w:val="000000" w:themeColor="text1"/>
                <w:szCs w:val="26"/>
                <w:lang w:val="vi-VN"/>
              </w:rPr>
              <w:t>21/2019/TT-BYT hướng dẫn thí điểm về hoạt động y học gia đình</w:t>
            </w:r>
          </w:p>
        </w:tc>
      </w:tr>
      <w:tr w:rsidR="009D0296" w:rsidRPr="00F73851" w:rsidTr="00B11A76">
        <w:tc>
          <w:tcPr>
            <w:tcW w:w="562" w:type="dxa"/>
          </w:tcPr>
          <w:p w:rsidR="009D0296" w:rsidRDefault="009D0296" w:rsidP="000C0447">
            <w:pPr>
              <w:spacing w:before="80" w:after="120"/>
              <w:jc w:val="center"/>
              <w:rPr>
                <w:szCs w:val="26"/>
                <w:lang w:val="vi-VN"/>
              </w:rPr>
            </w:pPr>
            <w:r>
              <w:rPr>
                <w:szCs w:val="26"/>
                <w:lang w:val="vi-VN"/>
              </w:rPr>
              <w:t>23</w:t>
            </w:r>
          </w:p>
        </w:tc>
        <w:tc>
          <w:tcPr>
            <w:tcW w:w="8931" w:type="dxa"/>
          </w:tcPr>
          <w:p w:rsidR="009D0296" w:rsidRPr="002C4850" w:rsidRDefault="009D0296" w:rsidP="000C0447">
            <w:pPr>
              <w:spacing w:before="80" w:after="120"/>
              <w:jc w:val="both"/>
              <w:rPr>
                <w:bCs/>
                <w:color w:val="000000" w:themeColor="text1"/>
                <w:szCs w:val="26"/>
                <w:lang w:val="vi-VN"/>
              </w:rPr>
            </w:pPr>
            <w:r w:rsidRPr="002C4850">
              <w:rPr>
                <w:color w:val="000000" w:themeColor="text1"/>
                <w:szCs w:val="26"/>
                <w:lang w:val="vi-VN"/>
              </w:rPr>
              <w:t xml:space="preserve">Quyết định </w:t>
            </w:r>
            <w:r>
              <w:rPr>
                <w:color w:val="000000" w:themeColor="text1"/>
                <w:szCs w:val="26"/>
                <w:lang w:val="vi-VN"/>
              </w:rPr>
              <w:t xml:space="preserve">số </w:t>
            </w:r>
            <w:r w:rsidRPr="002C4850">
              <w:rPr>
                <w:color w:val="000000" w:themeColor="text1"/>
                <w:szCs w:val="26"/>
                <w:lang w:val="vi-VN"/>
              </w:rPr>
              <w:t>2348/QĐ-TTg ngày 05/12/2016 phê duyệt Đề án xây dựng và phát triển mạng lưới y tế cơ sở trong tình hình mới</w:t>
            </w:r>
          </w:p>
        </w:tc>
      </w:tr>
      <w:tr w:rsidR="009D0296" w:rsidRPr="00F73851" w:rsidTr="00B11A76">
        <w:tc>
          <w:tcPr>
            <w:tcW w:w="562" w:type="dxa"/>
          </w:tcPr>
          <w:p w:rsidR="009D0296" w:rsidRDefault="009D0296" w:rsidP="000C0447">
            <w:pPr>
              <w:spacing w:before="80" w:after="120"/>
              <w:jc w:val="center"/>
              <w:rPr>
                <w:szCs w:val="26"/>
                <w:lang w:val="vi-VN"/>
              </w:rPr>
            </w:pPr>
            <w:r>
              <w:rPr>
                <w:szCs w:val="26"/>
                <w:lang w:val="vi-VN"/>
              </w:rPr>
              <w:t>24</w:t>
            </w:r>
          </w:p>
        </w:tc>
        <w:tc>
          <w:tcPr>
            <w:tcW w:w="8931" w:type="dxa"/>
          </w:tcPr>
          <w:p w:rsidR="009D0296" w:rsidRPr="002C4850" w:rsidRDefault="009D0296" w:rsidP="000C0447">
            <w:pPr>
              <w:spacing w:before="80" w:after="120"/>
              <w:jc w:val="both"/>
              <w:rPr>
                <w:color w:val="000000" w:themeColor="text1"/>
                <w:szCs w:val="26"/>
                <w:lang w:val="vi-VN"/>
              </w:rPr>
            </w:pPr>
            <w:r w:rsidRPr="002C4850">
              <w:rPr>
                <w:bCs/>
                <w:color w:val="000000" w:themeColor="text1"/>
                <w:szCs w:val="26"/>
                <w:lang w:val="vi-VN"/>
              </w:rPr>
              <w:t xml:space="preserve">Quyết định </w:t>
            </w:r>
            <w:r>
              <w:rPr>
                <w:bCs/>
                <w:color w:val="000000" w:themeColor="text1"/>
                <w:szCs w:val="26"/>
                <w:lang w:val="vi-VN"/>
              </w:rPr>
              <w:t xml:space="preserve">số </w:t>
            </w:r>
            <w:r w:rsidRPr="002C4850">
              <w:rPr>
                <w:bCs/>
                <w:color w:val="000000" w:themeColor="text1"/>
                <w:szCs w:val="26"/>
                <w:lang w:val="vi-VN"/>
              </w:rPr>
              <w:t>1300/QĐ-BYT</w:t>
            </w:r>
            <w:r>
              <w:rPr>
                <w:bCs/>
                <w:color w:val="000000" w:themeColor="text1"/>
                <w:szCs w:val="26"/>
                <w:lang w:val="vi-VN"/>
              </w:rPr>
              <w:t xml:space="preserve"> ngày 9/3/2023 ban hành Bộ tiêu chí quốc gia y tế xã giai đoạn đến năm 2030</w:t>
            </w:r>
          </w:p>
        </w:tc>
      </w:tr>
    </w:tbl>
    <w:p w:rsidR="00F3300D" w:rsidRDefault="00F3300D"/>
    <w:sectPr w:rsidR="00F3300D" w:rsidSect="00B11A76">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159AA"/>
    <w:multiLevelType w:val="hybridMultilevel"/>
    <w:tmpl w:val="FAD6A82C"/>
    <w:lvl w:ilvl="0" w:tplc="AE209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247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76"/>
    <w:rsid w:val="00005339"/>
    <w:rsid w:val="00026B88"/>
    <w:rsid w:val="00035CA7"/>
    <w:rsid w:val="0004173B"/>
    <w:rsid w:val="000562EB"/>
    <w:rsid w:val="00065920"/>
    <w:rsid w:val="000C0447"/>
    <w:rsid w:val="000C5312"/>
    <w:rsid w:val="000F1275"/>
    <w:rsid w:val="00120B93"/>
    <w:rsid w:val="00133434"/>
    <w:rsid w:val="00152852"/>
    <w:rsid w:val="001661BC"/>
    <w:rsid w:val="001701B4"/>
    <w:rsid w:val="00172C9B"/>
    <w:rsid w:val="001879EA"/>
    <w:rsid w:val="00193370"/>
    <w:rsid w:val="001B2D9E"/>
    <w:rsid w:val="001B7566"/>
    <w:rsid w:val="001D1169"/>
    <w:rsid w:val="001E7EF4"/>
    <w:rsid w:val="001F78C4"/>
    <w:rsid w:val="00203130"/>
    <w:rsid w:val="00212139"/>
    <w:rsid w:val="002278EE"/>
    <w:rsid w:val="002472F1"/>
    <w:rsid w:val="00284F7D"/>
    <w:rsid w:val="00293F61"/>
    <w:rsid w:val="002E21B5"/>
    <w:rsid w:val="003414A7"/>
    <w:rsid w:val="00363AAE"/>
    <w:rsid w:val="003928B1"/>
    <w:rsid w:val="003B1B1A"/>
    <w:rsid w:val="003F35D5"/>
    <w:rsid w:val="00440EF1"/>
    <w:rsid w:val="004421ED"/>
    <w:rsid w:val="00477B1D"/>
    <w:rsid w:val="00483E9B"/>
    <w:rsid w:val="004A2B84"/>
    <w:rsid w:val="004A3FDA"/>
    <w:rsid w:val="004B0B96"/>
    <w:rsid w:val="004B1E63"/>
    <w:rsid w:val="004B651E"/>
    <w:rsid w:val="004E596C"/>
    <w:rsid w:val="005B27DB"/>
    <w:rsid w:val="005B7FA9"/>
    <w:rsid w:val="005D317C"/>
    <w:rsid w:val="0062485C"/>
    <w:rsid w:val="00625D01"/>
    <w:rsid w:val="00660C58"/>
    <w:rsid w:val="006A61F6"/>
    <w:rsid w:val="007219CA"/>
    <w:rsid w:val="0074282D"/>
    <w:rsid w:val="00743872"/>
    <w:rsid w:val="007457F3"/>
    <w:rsid w:val="007508B1"/>
    <w:rsid w:val="00786C70"/>
    <w:rsid w:val="007D5F52"/>
    <w:rsid w:val="00810DF1"/>
    <w:rsid w:val="00827FF2"/>
    <w:rsid w:val="00856F13"/>
    <w:rsid w:val="00875522"/>
    <w:rsid w:val="0088249A"/>
    <w:rsid w:val="008D532A"/>
    <w:rsid w:val="008D7DB0"/>
    <w:rsid w:val="00920B98"/>
    <w:rsid w:val="00962DEB"/>
    <w:rsid w:val="009673F1"/>
    <w:rsid w:val="00980F34"/>
    <w:rsid w:val="009C124F"/>
    <w:rsid w:val="009D0296"/>
    <w:rsid w:val="00A17D90"/>
    <w:rsid w:val="00A34885"/>
    <w:rsid w:val="00A37B6F"/>
    <w:rsid w:val="00A473DC"/>
    <w:rsid w:val="00A7217D"/>
    <w:rsid w:val="00A82C71"/>
    <w:rsid w:val="00A9647D"/>
    <w:rsid w:val="00AA1794"/>
    <w:rsid w:val="00AB4382"/>
    <w:rsid w:val="00AD4D3A"/>
    <w:rsid w:val="00B053FD"/>
    <w:rsid w:val="00B11A76"/>
    <w:rsid w:val="00B13A59"/>
    <w:rsid w:val="00B267B5"/>
    <w:rsid w:val="00B27801"/>
    <w:rsid w:val="00B823FE"/>
    <w:rsid w:val="00BA72BA"/>
    <w:rsid w:val="00BB2008"/>
    <w:rsid w:val="00BD768F"/>
    <w:rsid w:val="00C029A3"/>
    <w:rsid w:val="00C07FCF"/>
    <w:rsid w:val="00C10669"/>
    <w:rsid w:val="00C369F6"/>
    <w:rsid w:val="00C47CD5"/>
    <w:rsid w:val="00C60C58"/>
    <w:rsid w:val="00C6299F"/>
    <w:rsid w:val="00C75B5F"/>
    <w:rsid w:val="00C96796"/>
    <w:rsid w:val="00CD5403"/>
    <w:rsid w:val="00CF5F81"/>
    <w:rsid w:val="00D44F83"/>
    <w:rsid w:val="00D53D11"/>
    <w:rsid w:val="00D63C3E"/>
    <w:rsid w:val="00D82EEC"/>
    <w:rsid w:val="00DA11A0"/>
    <w:rsid w:val="00DD3024"/>
    <w:rsid w:val="00DD5469"/>
    <w:rsid w:val="00DD755B"/>
    <w:rsid w:val="00E3416C"/>
    <w:rsid w:val="00E40C9C"/>
    <w:rsid w:val="00E7297A"/>
    <w:rsid w:val="00E7723F"/>
    <w:rsid w:val="00EA13B8"/>
    <w:rsid w:val="00EE1C32"/>
    <w:rsid w:val="00F3300D"/>
    <w:rsid w:val="00F4128D"/>
    <w:rsid w:val="00F73851"/>
    <w:rsid w:val="00FA123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50B6294"/>
  <w15:chartTrackingRefBased/>
  <w15:docId w15:val="{B071206B-8452-0C46-A2BB-F8D6F734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8F"/>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B0B96"/>
    <w:pPr>
      <w:keepNext/>
      <w:keepLines/>
      <w:spacing w:before="240" w:line="360" w:lineRule="auto"/>
      <w:jc w:val="center"/>
      <w:outlineLvl w:val="0"/>
    </w:pPr>
    <w:rPr>
      <w:rFonts w:asciiTheme="minorHAnsi" w:eastAsiaTheme="majorEastAsia" w:hAnsiTheme="minorHAnsi" w:cs="Times New Roman (Headings CS)"/>
      <w:b/>
      <w:color w:val="000000" w:themeColor="text1"/>
      <w:kern w:val="2"/>
      <w:sz w:val="28"/>
      <w:szCs w:val="32"/>
      <w14:ligatures w14:val="standardContextual"/>
    </w:rPr>
  </w:style>
  <w:style w:type="paragraph" w:styleId="Heading2">
    <w:name w:val="heading 2"/>
    <w:basedOn w:val="Normal"/>
    <w:next w:val="Normal"/>
    <w:link w:val="Heading2Char"/>
    <w:qFormat/>
    <w:rsid w:val="00BB2008"/>
    <w:pPr>
      <w:keepNext/>
      <w:framePr w:w="9537" w:wrap="notBeside" w:vAnchor="page" w:hAnchor="page" w:x="255" w:y="15663"/>
      <w:tabs>
        <w:tab w:val="center" w:pos="4320"/>
        <w:tab w:val="right" w:pos="8640"/>
      </w:tabs>
      <w:adjustRightInd w:val="0"/>
      <w:snapToGrid w:val="0"/>
      <w:jc w:val="center"/>
      <w:outlineLvl w:val="1"/>
    </w:pPr>
    <w:rPr>
      <w:b/>
      <w:i/>
      <w:color w:val="000000" w:themeColor="text1"/>
      <w:szCs w:val="20"/>
      <w:lang w:val="en-US"/>
    </w:rPr>
  </w:style>
  <w:style w:type="paragraph" w:styleId="Heading3">
    <w:name w:val="heading 3"/>
    <w:basedOn w:val="Normal"/>
    <w:next w:val="Normal"/>
    <w:link w:val="Heading3Char"/>
    <w:autoRedefine/>
    <w:uiPriority w:val="9"/>
    <w:qFormat/>
    <w:rsid w:val="004B0B96"/>
    <w:pPr>
      <w:keepNext/>
      <w:keepLines/>
      <w:snapToGrid w:val="0"/>
      <w:spacing w:before="120" w:after="120"/>
      <w:jc w:val="both"/>
      <w:outlineLvl w:val="2"/>
    </w:pPr>
    <w:rPr>
      <w:rFonts w:asciiTheme="minorHAnsi" w:eastAsia="SimSun" w:hAnsiTheme="minorHAnsi"/>
      <w:b/>
      <w:bCs/>
      <w:i/>
      <w:iCs/>
      <w:color w:val="000000"/>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B96"/>
    <w:rPr>
      <w:rFonts w:eastAsia="SimSun" w:cs="Times New Roman"/>
      <w:b/>
      <w:bCs/>
      <w:i/>
      <w:iCs/>
      <w:color w:val="000000"/>
      <w:kern w:val="0"/>
      <w:sz w:val="26"/>
      <w:szCs w:val="26"/>
      <w:lang w:val="vi-VN"/>
      <w14:ligatures w14:val="none"/>
    </w:rPr>
  </w:style>
  <w:style w:type="character" w:customStyle="1" w:styleId="Heading1Char">
    <w:name w:val="Heading 1 Char"/>
    <w:basedOn w:val="DefaultParagraphFont"/>
    <w:link w:val="Heading1"/>
    <w:uiPriority w:val="9"/>
    <w:rsid w:val="004B0B96"/>
    <w:rPr>
      <w:rFonts w:eastAsiaTheme="majorEastAsia" w:cs="Times New Roman (Headings CS)"/>
      <w:b/>
      <w:color w:val="000000" w:themeColor="text1"/>
      <w:sz w:val="28"/>
      <w:szCs w:val="32"/>
    </w:rPr>
  </w:style>
  <w:style w:type="character" w:customStyle="1" w:styleId="Heading2Char">
    <w:name w:val="Heading 2 Char"/>
    <w:basedOn w:val="DefaultParagraphFont"/>
    <w:link w:val="Heading2"/>
    <w:rsid w:val="00BB2008"/>
    <w:rPr>
      <w:rFonts w:ascii="Times New Roman" w:hAnsi="Times New Roman" w:cs="Times New Roman"/>
      <w:b/>
      <w:i/>
      <w:color w:val="000000" w:themeColor="text1"/>
      <w:sz w:val="26"/>
      <w:szCs w:val="20"/>
      <w:lang w:val="en-US"/>
    </w:rPr>
  </w:style>
  <w:style w:type="paragraph" w:styleId="ListParagraph">
    <w:name w:val="List Paragraph"/>
    <w:basedOn w:val="Normal"/>
    <w:uiPriority w:val="34"/>
    <w:qFormat/>
    <w:rsid w:val="00B11A76"/>
    <w:pPr>
      <w:spacing w:line="360" w:lineRule="auto"/>
      <w:ind w:left="720"/>
      <w:contextualSpacing/>
    </w:pPr>
    <w:rPr>
      <w:rFonts w:eastAsiaTheme="minorEastAsia" w:cstheme="minorBidi"/>
      <w:kern w:val="2"/>
      <w:sz w:val="24"/>
      <w:lang w:val="en-US" w:eastAsia="zh-CN"/>
      <w14:ligatures w14:val="standardContextual"/>
    </w:rPr>
  </w:style>
  <w:style w:type="table" w:styleId="TableGrid">
    <w:name w:val="Table Grid"/>
    <w:basedOn w:val="TableNormal"/>
    <w:uiPriority w:val="39"/>
    <w:rsid w:val="00B1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Nguyen</dc:creator>
  <cp:keywords/>
  <dc:description/>
  <cp:lastModifiedBy>Thang Nguyen</cp:lastModifiedBy>
  <cp:revision>2</cp:revision>
  <dcterms:created xsi:type="dcterms:W3CDTF">2024-08-20T04:51:00Z</dcterms:created>
  <dcterms:modified xsi:type="dcterms:W3CDTF">2024-08-20T07:14:00Z</dcterms:modified>
</cp:coreProperties>
</file>